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72E8D6C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42557CA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EA678B6" w:rsidR="00736D44" w:rsidRPr="007E1DDE" w:rsidRDefault="00172555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9559F14" w:rsidR="00736D44" w:rsidRPr="005B40FD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https://www.portalvs.sk/regzam/detail/12300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A9BC9A7" w:rsidR="00736D44" w:rsidRPr="00182B29" w:rsidRDefault="0017255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C8F6144" w:rsidR="00736D44" w:rsidRDefault="002764DD" w:rsidP="00B951A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951A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18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5902B64D" w:rsidR="00736D44" w:rsidRPr="002764DD" w:rsidRDefault="000866EF" w:rsidP="00B951A9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B951A9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84697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14B372B" w:rsidR="00736D44" w:rsidRPr="00B951A9" w:rsidRDefault="00F0299B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="00B951A9" w:rsidRPr="00B951A9">
                <w:rPr>
                  <w:rStyle w:val="Hypertextovprepojenie"/>
                  <w:rFonts w:ascii="Helvetica" w:hAnsi="Helvetica" w:cs="Helvetica"/>
                  <w:color w:val="653129"/>
                  <w:sz w:val="16"/>
                  <w:szCs w:val="16"/>
                  <w:shd w:val="clear" w:color="auto" w:fill="F5F5F5"/>
                </w:rPr>
                <w:t>https://app.crepc.sk/?fn=detailBiblioForm&amp;sid=2DC463C27BD09A4560DC2D6B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0D630D07" w:rsidR="00736D44" w:rsidRPr="00672E8D" w:rsidRDefault="00672E8D" w:rsidP="003B5AE7">
            <w:pPr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Orphan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Status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may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be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Protective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Factor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Against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Severe Toxicity of HIV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Therapy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in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Children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from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Resource-limited</w:t>
            </w:r>
            <w:proofErr w:type="spellEnd"/>
            <w:r w:rsidRPr="00672E8D">
              <w:rPr>
                <w:rStyle w:val="Siln"/>
                <w:rFonts w:cstheme="minorHAnsi"/>
                <w:sz w:val="16"/>
                <w:szCs w:val="16"/>
              </w:rPr>
              <w:t xml:space="preserve"> </w:t>
            </w:r>
            <w:proofErr w:type="spellStart"/>
            <w:r w:rsidRPr="00672E8D">
              <w:rPr>
                <w:rStyle w:val="Siln"/>
                <w:rFonts w:cstheme="minorHAnsi"/>
                <w:sz w:val="16"/>
                <w:szCs w:val="16"/>
              </w:rPr>
              <w:t>Settings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8.337%]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Paľun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Miroslav [Autor, 8.333%]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Gállová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Andrea [Autor, 8.333%]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Veronika [Autor, 8.333%]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Durcová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Barbora [Autor, 8.333%] ; Benca, Juraj [Autor, 8.333%]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Matulníková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Ľudmila [Autor, 8.333%] ; Šramková, Mária [Autor, 8.333%]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Cmorej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Patrik [Autor, 8.333%]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Vansač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Peter [Autor, 8.333%] ; Haj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Ali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Peri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[Autor, 8.333%] ;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Grey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, Eva [Autor, 8.333%]. – WOS CC</w:t>
            </w:r>
            <w:r>
              <w:rPr>
                <w:rFonts w:cstheme="minorHAnsi"/>
                <w:color w:val="333333"/>
                <w:sz w:val="16"/>
                <w:szCs w:val="16"/>
              </w:rPr>
              <w:t xml:space="preserve"> </w:t>
            </w:r>
            <w:r w:rsidRPr="00672E8D">
              <w:rPr>
                <w:rFonts w:cstheme="minorHAns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2E8D">
              <w:rPr>
                <w:rFonts w:cstheme="minorHAns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672E8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9, č. 3 (2018), s. 71-73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3A06541" w:rsidR="00736D44" w:rsidRPr="00182B29" w:rsidRDefault="00685D9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4283906C" w:rsidR="00736D44" w:rsidRPr="00E31F09" w:rsidRDefault="00672E8D" w:rsidP="003B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672E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https://clinicalsocialwork.eu/wp-content/uploads/2018/10/10-Hoin.pdf</w:t>
            </w: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5C42DD5" w:rsidR="00736D44" w:rsidRDefault="002F70D1" w:rsidP="00672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Veronika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72E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8,333</w:t>
            </w:r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1CEC17" w14:textId="6353FD2C" w:rsidR="007E518F" w:rsidRPr="007E518F" w:rsidRDefault="007E518F" w:rsidP="007E518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Správ</w:t>
            </w:r>
            <w:r w:rsidR="007B49F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</w:t>
            </w: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poukazuje </w:t>
            </w:r>
            <w:r w:rsidR="00F0299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na</w:t>
            </w: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ťaž</w:t>
            </w:r>
            <w:r w:rsidR="00F0299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kú toxicitu</w:t>
            </w:r>
            <w:bookmarkStart w:id="2" w:name="_GoBack"/>
            <w:bookmarkEnd w:id="2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pri ktorej sa zabránilo smrti</w:t>
            </w:r>
          </w:p>
          <w:p w14:paraId="47DC82E4" w14:textId="510B2AF0" w:rsidR="00736D44" w:rsidRDefault="007E518F" w:rsidP="007E518F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pozorným sledovaním v sirotinci v Phnom Penh v Kambodži.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Reports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indicate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severe toxi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city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avoided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by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observation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Phnom Penh,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F0299B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F20D" w14:textId="77777777" w:rsidR="007E518F" w:rsidRPr="007E518F" w:rsidRDefault="007E518F" w:rsidP="007E5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monitoring of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adherence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antiretroviral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(ARV)</w:t>
            </w:r>
          </w:p>
          <w:p w14:paraId="72589DFC" w14:textId="77777777" w:rsidR="007E518F" w:rsidRPr="007E518F" w:rsidRDefault="007E518F" w:rsidP="007E5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possible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close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facility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e.g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orphanage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regular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DOT</w:t>
            </w:r>
          </w:p>
          <w:p w14:paraId="4CB1AE68" w14:textId="77777777" w:rsidR="007E518F" w:rsidRPr="007E518F" w:rsidRDefault="007E518F" w:rsidP="007E5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(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directly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observed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therapy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 and DOTOX (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directly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observed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toxicity)</w:t>
            </w:r>
          </w:p>
          <w:p w14:paraId="6512D108" w14:textId="577C9EE0" w:rsidR="00736D44" w:rsidRPr="00736D44" w:rsidRDefault="007E518F" w:rsidP="007E5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possible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117776C" w14:textId="77777777" w:rsidR="00736D44" w:rsidRDefault="004D46BF" w:rsidP="00D41B8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4D46BF">
              <w:rPr>
                <w:sz w:val="16"/>
                <w:szCs w:val="16"/>
              </w:rPr>
              <w:t xml:space="preserve">1.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Chronic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Hepatitis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C - in Risk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Groups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Eastern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Europe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: a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Global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Public-health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Problem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Belovicova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M (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Belovicova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Maria);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Balazova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I (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Balazova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Ivana);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Pilko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J (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Pilko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Jan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Vansac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P (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Vansac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Peter);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Mironyuk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I (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Mironyuk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Ivan);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Ermolova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, T (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Ermolova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, Tatiana) </w:t>
            </w:r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CLINICAL SOCIAL WORK AND HEALTH INTERVENTION  </w:t>
            </w:r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Volume: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10  </w:t>
            </w:r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Issue: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4  </w:t>
            </w:r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Pages: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33-41  </w:t>
            </w:r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DOI: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10.22359/cswhi_10_4_01  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Published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2019  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Accession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Number</w:t>
            </w:r>
            <w:proofErr w:type="spellEnd"/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 xml:space="preserve"> WOS:000504847400006 </w:t>
            </w:r>
            <w:r w:rsidRPr="004D46B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ISSN:</w:t>
            </w:r>
            <w:r w:rsidRPr="004D46BF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 2222-386X</w:t>
            </w:r>
          </w:p>
          <w:p w14:paraId="65FEAE77" w14:textId="77777777" w:rsidR="004D46BF" w:rsidRDefault="004D46BF" w:rsidP="00D41B88">
            <w:pPr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2. 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EARLY DETECTION OF ADVERSE THERAPY REACTIONS IN ORPHAN CHILDREN WITH AIDS (SHORT COMMUNICATION) </w:t>
            </w:r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):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Ali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PH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Ali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Peri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Haj);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Subramanian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S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Subramanian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Selvaraj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Sladeckova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V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Sladeckova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Veronica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Bzydzovsky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Bzydzovsky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John);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Durcova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B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Durcova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Barbara);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Kubalikova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Z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Kubalikova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Zuzana);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Michael);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Matulnikova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L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Matulnikova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Ludmila);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Krcmery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V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Krcmery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Vladimir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Doktorov, A (Doktorov, Anton);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Beresova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A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Beresova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Anna);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Kubik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F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Kubik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Ferdinand);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Fula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Fula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Milan);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Jana);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Kalatova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DH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Kalatova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Dagmar Helena);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Kukuckova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E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Kukuckova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Eva);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Jurinova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S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Jurinova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Suzan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Benca, J (Benca, Juraj);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Shahum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A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Shahum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Andrea);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Hoin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L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Hoin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Leanghoin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Seta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S (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Seta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Saoseng</w:t>
            </w:r>
            <w:proofErr w:type="spellEnd"/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) ACTA MISSIOLOGICA  </w:t>
            </w:r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Volume: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13  </w:t>
            </w:r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Issue: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2  </w:t>
            </w:r>
            <w:proofErr w:type="spellStart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Pages</w:t>
            </w:r>
            <w:proofErr w:type="spellEnd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184-187  </w:t>
            </w:r>
            <w:proofErr w:type="spellStart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Published</w:t>
            </w:r>
            <w:proofErr w:type="spellEnd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2019  </w:t>
            </w:r>
            <w:proofErr w:type="spellStart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Accession</w:t>
            </w:r>
            <w:proofErr w:type="spellEnd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Number</w:t>
            </w:r>
            <w:proofErr w:type="spellEnd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 WOS:000500933200017 </w:t>
            </w:r>
            <w:proofErr w:type="spellStart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eISSN</w:t>
            </w:r>
            <w:proofErr w:type="spellEnd"/>
            <w:r w:rsidR="00B06C47"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="00B06C47"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2453-7160</w:t>
            </w:r>
          </w:p>
          <w:p w14:paraId="720052BE" w14:textId="31F07C2D" w:rsidR="00B06C47" w:rsidRPr="00B06C47" w:rsidRDefault="00B06C47" w:rsidP="00D41B88">
            <w:pPr>
              <w:rPr>
                <w:rFonts w:cstheme="minorHAnsi"/>
                <w:sz w:val="16"/>
                <w:szCs w:val="16"/>
              </w:rPr>
            </w:pP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3.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Improved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Adherence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to ART in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Children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Orphans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with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AIDS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Results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the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Decreasing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Occurrence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Tuberculosis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Research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paper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Mikolasova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G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Mikolasova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Gerti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Seta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S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Seta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Song);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Hoin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H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Hoin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Hong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J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Otrubova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Jana); Benca, J (Benca, Juraj);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Bartkovjak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Bartkovjak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Marian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Hvizdak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F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Hvizdak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Frantisek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Durcova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B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Durcova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Barbora);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M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Olah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Michal);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Beresova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, A (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Beresova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, Anna); Haj, PA (Haj,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Peri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Ali</w:t>
            </w:r>
            <w:proofErr w:type="spellEnd"/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) CLINICAL SOCIAL WORK AND HEALTH INTERVENTION  </w:t>
            </w:r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Volume: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9  </w:t>
            </w:r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Issue: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4  </w:t>
            </w:r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Pages: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81-83  </w:t>
            </w:r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DOI: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10.22359/cswhi_9_4_14  </w:t>
            </w:r>
            <w:proofErr w:type="spellStart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Published</w:t>
            </w:r>
            <w:proofErr w:type="spellEnd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2018  </w:t>
            </w:r>
            <w:proofErr w:type="spellStart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Accession</w:t>
            </w:r>
            <w:proofErr w:type="spellEnd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Number</w:t>
            </w:r>
            <w:proofErr w:type="spellEnd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 WOS:000453440000016 </w:t>
            </w:r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ISSN: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 xml:space="preserve"> 2222-386X </w:t>
            </w:r>
            <w:proofErr w:type="spellStart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eISSN</w:t>
            </w:r>
            <w:proofErr w:type="spellEnd"/>
            <w:r w:rsidRPr="00B06C47">
              <w:rPr>
                <w:rFonts w:eastAsia="Times New Roman" w:cstheme="minorHAnsi"/>
                <w:b/>
                <w:bCs/>
                <w:sz w:val="16"/>
                <w:szCs w:val="16"/>
                <w:lang w:eastAsia="sk-SK"/>
              </w:rPr>
              <w:t>:</w:t>
            </w:r>
            <w:r w:rsidRPr="00B06C47">
              <w:rPr>
                <w:rFonts w:eastAsia="Times New Roman" w:cstheme="minorHAnsi"/>
                <w:sz w:val="16"/>
                <w:szCs w:val="16"/>
                <w:lang w:eastAsia="sk-SK"/>
              </w:rPr>
              <w:t> 2076-974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46F7466C" w:rsidR="00736D44" w:rsidRPr="009C7963" w:rsidRDefault="007E518F" w:rsidP="007E518F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Stav siroty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definuje sociálne a ekonomické výsledky dieťaťa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 Viaceré štúdie uviedli horšie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výsledky pre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chudobnejšie siroty ide najmä o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zdravie a výživu; vyššiu mieru hospitalizácie; n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ižšia školská dochádzka; vyššiu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detskú úmrtnosť.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/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status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defines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child's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economic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outcomes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Several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studies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have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reported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poorer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outcomes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poorer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orphans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particularly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terms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health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nutrition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;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higher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rate of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hospitalization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;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lower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school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attendance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;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higher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child</w:t>
            </w:r>
            <w:proofErr w:type="spellEnd"/>
            <w:r w:rsidRPr="007E518F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mortality.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58724A9D" w:rsidR="00172555" w:rsidRPr="00172555" w:rsidRDefault="004D46BF" w:rsidP="004D46BF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Pre monitorovanie v ústavnej starostlivosti bolo prínosom vyškolenie so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ciálnych pracovníkov, </w:t>
            </w:r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dobrovoľníkov a zdravotníckeho personálu. Preto vzdelávanie odborníkov v tejto oblasti je nenahraditeľnou súčasťou pomoci týmto sirotám.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training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workers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was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beneficial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mo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nitoring in </w:t>
            </w:r>
            <w:proofErr w:type="spellStart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institutional</w:t>
            </w:r>
            <w:proofErr w:type="spellEnd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care</w:t>
            </w:r>
            <w:proofErr w:type="spellEnd"/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volunteers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medical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staff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Therefore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education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experts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this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field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an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irreplaceable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part of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helping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these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orphans</w:t>
            </w:r>
            <w:proofErr w:type="spellEnd"/>
            <w:r w:rsidRPr="004D46BF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07E73"/>
    <w:rsid w:val="000866EF"/>
    <w:rsid w:val="000B6E38"/>
    <w:rsid w:val="000C2438"/>
    <w:rsid w:val="00131F27"/>
    <w:rsid w:val="00172555"/>
    <w:rsid w:val="00182B29"/>
    <w:rsid w:val="002258B5"/>
    <w:rsid w:val="00230582"/>
    <w:rsid w:val="002764DD"/>
    <w:rsid w:val="002A1AF9"/>
    <w:rsid w:val="002B3E75"/>
    <w:rsid w:val="002F70D1"/>
    <w:rsid w:val="00307CB9"/>
    <w:rsid w:val="00362B3A"/>
    <w:rsid w:val="003B5AE7"/>
    <w:rsid w:val="003F6183"/>
    <w:rsid w:val="004404EA"/>
    <w:rsid w:val="00470B75"/>
    <w:rsid w:val="00496678"/>
    <w:rsid w:val="004D46BF"/>
    <w:rsid w:val="004E1895"/>
    <w:rsid w:val="00504FDA"/>
    <w:rsid w:val="00512509"/>
    <w:rsid w:val="00672E8D"/>
    <w:rsid w:val="00677A7E"/>
    <w:rsid w:val="00685D92"/>
    <w:rsid w:val="006948AF"/>
    <w:rsid w:val="00736D44"/>
    <w:rsid w:val="0079002C"/>
    <w:rsid w:val="007B49F0"/>
    <w:rsid w:val="007D7512"/>
    <w:rsid w:val="007E518F"/>
    <w:rsid w:val="0082246C"/>
    <w:rsid w:val="0082574B"/>
    <w:rsid w:val="0084754A"/>
    <w:rsid w:val="0090143B"/>
    <w:rsid w:val="009220F4"/>
    <w:rsid w:val="00946931"/>
    <w:rsid w:val="009B0AB4"/>
    <w:rsid w:val="00A53683"/>
    <w:rsid w:val="00B06C47"/>
    <w:rsid w:val="00B56DA5"/>
    <w:rsid w:val="00B951A9"/>
    <w:rsid w:val="00BD1CCF"/>
    <w:rsid w:val="00CC6E8A"/>
    <w:rsid w:val="00D06B21"/>
    <w:rsid w:val="00D41B88"/>
    <w:rsid w:val="00D80BC4"/>
    <w:rsid w:val="00DE5DA0"/>
    <w:rsid w:val="00E77901"/>
    <w:rsid w:val="00EA7E0B"/>
    <w:rsid w:val="00F0299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2DC463C27BD09A4560DC2D6B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27</cp:revision>
  <cp:lastPrinted>2022-10-24T11:12:00Z</cp:lastPrinted>
  <dcterms:created xsi:type="dcterms:W3CDTF">2022-10-24T11:16:00Z</dcterms:created>
  <dcterms:modified xsi:type="dcterms:W3CDTF">2022-10-25T08:23:00Z</dcterms:modified>
</cp:coreProperties>
</file>